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ED1087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1/2017</w:t>
            </w:r>
            <w:bookmarkStart w:id="0" w:name="_GoBack"/>
            <w:bookmarkEnd w:id="0"/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BOSNA i HERCEGOVINA (</w:t>
            </w:r>
            <w:r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AD673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2017. (</w:t>
            </w:r>
            <w:r w:rsidRPr="00882C48">
              <w:rPr>
                <w:rFonts w:ascii="Arial" w:hAnsi="Arial" w:cs="Arial"/>
                <w:b/>
                <w:sz w:val="18"/>
                <w:szCs w:val="18"/>
              </w:rPr>
              <w:t>dvodnevna izvanučionička nastava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882C48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Sarajevo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X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6 do 12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.01.2017.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882C48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.01.2017.</w:t>
            </w:r>
            <w:r>
              <w:rPr>
                <w:rFonts w:ascii="Arial" w:hAnsi="Arial" w:cs="Arial"/>
                <w:sz w:val="18"/>
                <w:szCs w:val="18"/>
              </w:rPr>
              <w:t xml:space="preserve"> u 19:00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FB5371"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84699"/>
    <w:rsid w:val="002D6073"/>
    <w:rsid w:val="00457DBB"/>
    <w:rsid w:val="004E59E8"/>
    <w:rsid w:val="00563E75"/>
    <w:rsid w:val="00570DDA"/>
    <w:rsid w:val="005D34B1"/>
    <w:rsid w:val="006F01D3"/>
    <w:rsid w:val="00770B26"/>
    <w:rsid w:val="007945EF"/>
    <w:rsid w:val="007C2ACB"/>
    <w:rsid w:val="007C53C1"/>
    <w:rsid w:val="007E3C93"/>
    <w:rsid w:val="007F4EDE"/>
    <w:rsid w:val="00803393"/>
    <w:rsid w:val="00856B1B"/>
    <w:rsid w:val="00882C48"/>
    <w:rsid w:val="008E16B3"/>
    <w:rsid w:val="00A828A1"/>
    <w:rsid w:val="00A865A7"/>
    <w:rsid w:val="00AD093B"/>
    <w:rsid w:val="00AD6734"/>
    <w:rsid w:val="00BE7FE3"/>
    <w:rsid w:val="00BF1271"/>
    <w:rsid w:val="00D506E8"/>
    <w:rsid w:val="00E10F11"/>
    <w:rsid w:val="00ED1087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5</cp:revision>
  <cp:lastPrinted>2016-09-15T14:37:00Z</cp:lastPrinted>
  <dcterms:created xsi:type="dcterms:W3CDTF">2017-01-02T10:28:00Z</dcterms:created>
  <dcterms:modified xsi:type="dcterms:W3CDTF">2017-01-02T10:51:00Z</dcterms:modified>
</cp:coreProperties>
</file>