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05d2fa3609e486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16674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HOTELIJERSKO-TURISTIČKA ŠKOLA U ZAGREBU</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2.671.715,68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2.906.824,34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2.490.680,94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2.893.181,55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181.034,74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13.642,79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158.095,21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196.372,03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158.095,21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196.372,03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182.729,24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 siječnja do 31. prosinca 2025. ukupno ostvareni prihodi iznosili su 2.906.824,34 eura. Najznačajniji prihod poslovanja ostvaren je od prihoda EU projekata (Erasmus projekti) i prihoda od strane Grada Zagreba za podmirenje troškova redovnog poslovanja i nabave nefinancijske imovine. Ukupni rashodi u razdoblju od 01. siječnja do 31. prosinca 2025. iznosili su 3.089.553,58 eura, a najznačajnije povećanje rashoda dogodilo se na rashodu za nabavu nefinancijske imovine zbog nabave udžbenika za školsku godinu 25./26. te knjiženja troška plaće za prosinac 2025. čije je dospijeće u siječnju 2026. U izvještajnom razdoblju ostvaren je manjak prihoda poslovanja jer je trošak plaće knjižen u ukupnom iznosu od 199.904,17 eura dok će prihod za plaću biti priznat tek u 2026. Osim plaće u trošak je uvrštena i isplata materijalnih prava za prosinac u iznosu od 2.650,25 eura, računi dobavljačima s dospijećem također u siječnju 2026. u iznosu od 11.211,48 i ostalo.</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iznosi 11.552,73 eura, a čine ih neplaćeni računi dobavljačima. Navedeni računi su ušli u obvezu za 2025. jer je većini valuta plaćanja bila 30. ili 31. prosinca, a za ostale se čekao prihod od Grada npr. računi za 3. krug nabave udžbenika te energenti za prosinac. Isti su plaćeni odmah na početku 2026. te više ne čine obveze za plaćanje.</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Ukupni prihod ostvaren od EU sredstava u 2025. godini iznosi 97.707,89 eura. Taj prihod sastoji se od dva Erasmus projekta i Projekta Vijeća Europe u suradnji s ECML centrom u Grazu naziva Multilingual Classrooms. Prihod po Erasmus projektima iznosi 90.499,20 eura, a 7.208,69 eura odnosi se na Multilingual Classrooms projekt. Rashodi za Multilingual Classrooms projekt iznosili su 7.208,69 eura dok je za Erasmus projekte utrošeno 70.528,29 eura. Ukupni iznos financiranja po ugovoru za Erasmus projekt iz 2025. iznosi 95.434,00 eura, od čega je uplaćeno školi 76.347,20 eura, a ostatak potraživanja po ugovoru iznosi 19.086,80 eura. Ostatak prihoda odnosi se na projekt iz 2024.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391bcdec43f4a4a" /></Relationships>
</file>